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1"/>
        <w:gridCol w:w="9969"/>
      </w:tblGrid>
      <w:tr>
        <w:trPr>
          <w:trHeight w:val="1635" w:hRule="atLeast"/>
        </w:trPr>
        <w:tc>
          <w:tcPr>
            <w:tcW w:w="3311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12920" cy="681227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20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69" w:type="dxa"/>
          </w:tcPr>
          <w:p>
            <w:pPr>
              <w:pStyle w:val="TableParagraph"/>
              <w:spacing w:line="282" w:lineRule="exact"/>
              <w:rPr>
                <w:b/>
                <w:sz w:val="28"/>
              </w:rPr>
            </w:pPr>
            <w:r>
              <w:rPr>
                <w:b/>
                <w:color w:val="2D75B6"/>
                <w:sz w:val="24"/>
              </w:rPr>
              <w:t>I</w:t>
            </w:r>
            <w:r>
              <w:rPr>
                <w:b/>
                <w:color w:val="2D75B6"/>
                <w:sz w:val="28"/>
              </w:rPr>
              <w:t>elūdzam Jūs piedalīties Santen Oy pārstāvniecības rīkotajā tiešsaistes seminārā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b/>
                <w:sz w:val="44"/>
              </w:rPr>
            </w:pPr>
            <w:r>
              <w:rPr>
                <w:b/>
                <w:color w:val="2D75B6"/>
                <w:sz w:val="44"/>
              </w:rPr>
              <w:t>Par un ap glaukomu</w:t>
            </w:r>
          </w:p>
          <w:p>
            <w:pPr>
              <w:pStyle w:val="TableParagraph"/>
              <w:spacing w:line="320" w:lineRule="exact" w:before="208"/>
              <w:rPr>
                <w:b/>
                <w:sz w:val="28"/>
              </w:rPr>
            </w:pPr>
            <w:r>
              <w:rPr>
                <w:b/>
                <w:color w:val="2D75B6"/>
                <w:sz w:val="28"/>
              </w:rPr>
              <w:t>2023. gada 17. novembrī plkst. 16:00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6840" w:h="11910" w:orient="landscape"/>
          <w:pgMar w:top="200" w:bottom="280" w:left="200" w:right="680"/>
        </w:sectPr>
      </w:pPr>
    </w:p>
    <w:p>
      <w:pPr>
        <w:pStyle w:val="BodyText"/>
        <w:spacing w:line="339" w:lineRule="exact" w:before="44"/>
        <w:ind w:left="921" w:right="852"/>
        <w:jc w:val="center"/>
      </w:pPr>
      <w:r>
        <w:rPr/>
        <w:drawing>
          <wp:anchor distT="0" distB="0" distL="0" distR="0" allowOverlap="1" layoutInCell="1" locked="0" behindDoc="1" simplePos="0" relativeHeight="251588608">
            <wp:simplePos x="0" y="0"/>
            <wp:positionH relativeFrom="page">
              <wp:posOffset>11083</wp:posOffset>
            </wp:positionH>
            <wp:positionV relativeFrom="page">
              <wp:posOffset>1176566</wp:posOffset>
            </wp:positionV>
            <wp:extent cx="10678667" cy="6372739"/>
            <wp:effectExtent l="0" t="0" r="0" b="0"/>
            <wp:wrapNone/>
            <wp:docPr id="3" name="image2.jpeg" descr="C:\Users\inese.slihta\OneDrive - SANTEN PHARMACEUTICAL GROUP\My documents\Forms\Santen\Eye1_CMYK_72dpi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667" cy="637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Aicinām piedalīties seminārā izmantojot saiti:</w:t>
      </w:r>
    </w:p>
    <w:p>
      <w:pPr>
        <w:pStyle w:val="BodyText"/>
        <w:spacing w:line="336" w:lineRule="exact"/>
        <w:ind w:left="918" w:right="852"/>
        <w:jc w:val="center"/>
      </w:pPr>
      <w:hyperlink r:id="rId7">
        <w:r>
          <w:rPr>
            <w:color w:val="0064C9"/>
          </w:rPr>
          <w:t>https://www.stasti.lv/santen</w:t>
        </w:r>
      </w:hyperlink>
    </w:p>
    <w:p>
      <w:pPr>
        <w:pStyle w:val="BodyText"/>
        <w:spacing w:line="336" w:lineRule="exact"/>
        <w:ind w:left="915" w:right="852"/>
        <w:jc w:val="center"/>
      </w:pPr>
      <w:r>
        <w:rPr>
          <w:color w:val="FFFFFF"/>
        </w:rPr>
        <w:t>Dalības maksa netiks piemērota.</w:t>
      </w:r>
    </w:p>
    <w:p>
      <w:pPr>
        <w:pStyle w:val="BodyText"/>
        <w:spacing w:line="235" w:lineRule="auto" w:before="2"/>
        <w:ind w:left="142" w:right="75" w:firstLine="6"/>
        <w:jc w:val="center"/>
      </w:pPr>
      <w:r>
        <w:rPr>
          <w:color w:val="FFFFFF"/>
        </w:rPr>
        <w:t>Par dalību seminārā tiks piešķirti tālākizglītības punkti (pieteikums ir iesniegts LĀB Sertifikācijas padomei) ar nosacījumu, ka dalībnieks ir piereģistrējies ar visiem dalībai nepieciešamajiem datiem un piedalījies visu tiešsaistes semināra laiku.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35" w:lineRule="auto" w:before="1"/>
        <w:ind w:left="105" w:right="38" w:firstLine="52"/>
        <w:jc w:val="both"/>
      </w:pPr>
      <w:r>
        <w:rPr>
          <w:color w:val="FFFFFF"/>
        </w:rPr>
        <w:t>Santen Oy pārstāvniecība apņemas nosūtīt sertifikātusvpar dalību seminārā pa pastu vai e-pastu. Lūdzam ņemt vērā, ka sertifikātu sagatavošana un izsūtīšana aizņem zināmu laiku.</w:t>
      </w:r>
    </w:p>
    <w:p>
      <w:pPr>
        <w:pStyle w:val="BodyText"/>
        <w:spacing w:before="4"/>
        <w:rPr>
          <w:sz w:val="27"/>
        </w:rPr>
      </w:pPr>
    </w:p>
    <w:p>
      <w:pPr>
        <w:spacing w:line="339" w:lineRule="exact" w:before="0"/>
        <w:ind w:left="914" w:right="852" w:firstLine="0"/>
        <w:jc w:val="center"/>
        <w:rPr>
          <w:b/>
          <w:i/>
          <w:sz w:val="28"/>
        </w:rPr>
      </w:pPr>
      <w:r>
        <w:rPr>
          <w:b/>
          <w:i/>
          <w:color w:val="FFFFFF"/>
          <w:sz w:val="28"/>
        </w:rPr>
        <w:t>Santen Oy pārstāvniecība</w:t>
      </w:r>
    </w:p>
    <w:p>
      <w:pPr>
        <w:spacing w:line="339" w:lineRule="exact" w:before="0"/>
        <w:ind w:left="919" w:right="852" w:firstLine="0"/>
        <w:jc w:val="center"/>
        <w:rPr>
          <w:b/>
          <w:i/>
          <w:sz w:val="28"/>
        </w:rPr>
      </w:pPr>
      <w:hyperlink r:id="rId8">
        <w:r>
          <w:rPr>
            <w:b/>
            <w:i/>
            <w:color w:val="FFFFFF"/>
            <w:sz w:val="28"/>
          </w:rPr>
          <w:t>tālr. 67791780, latvia@santen.com</w:t>
        </w:r>
      </w:hyperlink>
    </w:p>
    <w:p>
      <w:pPr>
        <w:spacing w:before="60"/>
        <w:ind w:left="118" w:right="0" w:firstLine="0"/>
        <w:jc w:val="left"/>
        <w:rPr>
          <w:sz w:val="33"/>
        </w:rPr>
      </w:pPr>
      <w:r>
        <w:rPr/>
        <w:br w:type="column"/>
      </w:r>
      <w:r>
        <w:rPr>
          <w:color w:val="FFFFFF"/>
          <w:sz w:val="33"/>
        </w:rPr>
        <w:t>Semināra programma:</w:t>
      </w:r>
    </w:p>
    <w:p>
      <w:pPr>
        <w:pStyle w:val="BodyText"/>
        <w:spacing w:before="6"/>
        <w:rPr>
          <w:b w:val="0"/>
          <w:sz w:val="47"/>
        </w:rPr>
      </w:pPr>
    </w:p>
    <w:p>
      <w:pPr>
        <w:pStyle w:val="Heading1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35" w:lineRule="auto" w:before="0" w:after="0"/>
        <w:ind w:left="825" w:right="109" w:hanging="720"/>
        <w:jc w:val="left"/>
      </w:pPr>
      <w:r>
        <w:rPr>
          <w:color w:val="FFFFFF"/>
        </w:rPr>
        <w:t>Iekšķīgo slimību ietekme uz glaukomas attīstību. Dr. Sintija Iesalniece, Dr. Ildze</w:t>
      </w:r>
      <w:r>
        <w:rPr>
          <w:color w:val="FFFFFF"/>
          <w:spacing w:val="-5"/>
        </w:rPr>
        <w:t> </w:t>
      </w:r>
      <w:r>
        <w:rPr>
          <w:color w:val="FFFFFF"/>
        </w:rPr>
        <w:t>Rozenšteina,</w:t>
      </w:r>
    </w:p>
    <w:p>
      <w:pPr>
        <w:tabs>
          <w:tab w:pos="6338" w:val="left" w:leader="none"/>
        </w:tabs>
        <w:spacing w:line="435" w:lineRule="exact" w:before="0"/>
        <w:ind w:left="825" w:right="0" w:firstLine="0"/>
        <w:jc w:val="left"/>
        <w:rPr>
          <w:sz w:val="36"/>
        </w:rPr>
      </w:pPr>
      <w:r>
        <w:rPr>
          <w:color w:val="FFFFFF"/>
          <w:sz w:val="36"/>
        </w:rPr>
        <w:t>KRC Jaunķemeri</w:t>
        <w:tab/>
        <w:t>60 min</w:t>
      </w:r>
    </w:p>
    <w:p>
      <w:pPr>
        <w:pStyle w:val="BodyText"/>
        <w:spacing w:before="4"/>
        <w:rPr>
          <w:b w:val="0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  <w:tab w:pos="6318" w:val="left" w:leader="none"/>
        </w:tabs>
        <w:spacing w:line="235" w:lineRule="auto" w:before="1" w:after="0"/>
        <w:ind w:left="825" w:right="195" w:hanging="720"/>
        <w:jc w:val="left"/>
        <w:rPr>
          <w:sz w:val="36"/>
        </w:rPr>
      </w:pPr>
      <w:r>
        <w:rPr>
          <w:color w:val="FFFFFF"/>
          <w:sz w:val="36"/>
        </w:rPr>
        <w:t>Glaukoma pacientiem ar sistēmiskām</w:t>
      </w:r>
      <w:r>
        <w:rPr>
          <w:color w:val="FFFFFF"/>
          <w:spacing w:val="-29"/>
          <w:sz w:val="36"/>
        </w:rPr>
        <w:t> </w:t>
      </w:r>
      <w:r>
        <w:rPr>
          <w:color w:val="FFFFFF"/>
          <w:sz w:val="36"/>
        </w:rPr>
        <w:t>slimībām. Prof. Kristīne Baumane, RAKUS</w:t>
        <w:tab/>
        <w:t>60 min</w:t>
      </w:r>
    </w:p>
    <w:p>
      <w:pPr>
        <w:pStyle w:val="BodyText"/>
        <w:spacing w:before="7"/>
        <w:rPr>
          <w:b w:val="0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35" w:lineRule="auto" w:before="0" w:after="0"/>
        <w:ind w:left="825" w:right="277" w:hanging="720"/>
        <w:jc w:val="left"/>
        <w:rPr>
          <w:sz w:val="36"/>
        </w:rPr>
      </w:pPr>
      <w:r>
        <w:rPr>
          <w:color w:val="FFFFFF"/>
          <w:sz w:val="36"/>
        </w:rPr>
        <w:t>Ārstēšanas taktika subkompensētas glaukomas gadījumā.</w:t>
      </w:r>
    </w:p>
    <w:p>
      <w:pPr>
        <w:tabs>
          <w:tab w:pos="6387" w:val="left" w:leader="none"/>
        </w:tabs>
        <w:spacing w:line="235" w:lineRule="auto" w:before="0"/>
        <w:ind w:left="838" w:right="0" w:firstLine="0"/>
        <w:jc w:val="left"/>
        <w:rPr>
          <w:sz w:val="36"/>
        </w:rPr>
      </w:pPr>
      <w:r>
        <w:rPr>
          <w:color w:val="FFFFFF"/>
          <w:sz w:val="36"/>
        </w:rPr>
        <w:t>Dr. Lāsma</w:t>
      </w:r>
      <w:r>
        <w:rPr>
          <w:color w:val="FFFFFF"/>
          <w:spacing w:val="-6"/>
          <w:sz w:val="36"/>
        </w:rPr>
        <w:t> </w:t>
      </w:r>
      <w:r>
        <w:rPr>
          <w:color w:val="FFFFFF"/>
          <w:sz w:val="36"/>
        </w:rPr>
        <w:t>Volksone,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RAKUS</w:t>
        <w:tab/>
      </w:r>
      <w:r>
        <w:rPr>
          <w:color w:val="FFFFFF"/>
          <w:position w:val="-20"/>
          <w:sz w:val="36"/>
        </w:rPr>
        <w:t>60 min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431" w:lineRule="exact" w:before="215" w:after="0"/>
        <w:ind w:left="825" w:right="0" w:hanging="721"/>
        <w:jc w:val="left"/>
        <w:rPr>
          <w:sz w:val="36"/>
        </w:rPr>
      </w:pPr>
      <w:r>
        <w:rPr>
          <w:color w:val="FFFFFF"/>
          <w:sz w:val="36"/>
        </w:rPr>
        <w:t>Preserflo rezultāti P. Stradina</w:t>
      </w:r>
      <w:r>
        <w:rPr>
          <w:color w:val="FFFFFF"/>
          <w:spacing w:val="-2"/>
          <w:sz w:val="36"/>
        </w:rPr>
        <w:t> </w:t>
      </w:r>
      <w:r>
        <w:rPr>
          <w:color w:val="FFFFFF"/>
          <w:sz w:val="36"/>
        </w:rPr>
        <w:t>KUS.</w:t>
      </w:r>
    </w:p>
    <w:p>
      <w:pPr>
        <w:tabs>
          <w:tab w:pos="6398" w:val="left" w:leader="none"/>
        </w:tabs>
        <w:spacing w:line="441" w:lineRule="exact" w:before="0"/>
        <w:ind w:left="838" w:right="0" w:firstLine="0"/>
        <w:jc w:val="left"/>
        <w:rPr>
          <w:sz w:val="36"/>
        </w:rPr>
      </w:pPr>
      <w:r>
        <w:rPr>
          <w:color w:val="FFFFFF"/>
          <w:sz w:val="36"/>
        </w:rPr>
        <w:t>Prof. Guna</w:t>
      </w:r>
      <w:r>
        <w:rPr>
          <w:color w:val="FFFFFF"/>
          <w:spacing w:val="-4"/>
          <w:sz w:val="36"/>
        </w:rPr>
        <w:t> </w:t>
      </w:r>
      <w:r>
        <w:rPr>
          <w:color w:val="FFFFFF"/>
          <w:sz w:val="36"/>
        </w:rPr>
        <w:t>Laganovska,</w:t>
      </w:r>
      <w:r>
        <w:rPr>
          <w:color w:val="FFFFFF"/>
          <w:spacing w:val="-3"/>
          <w:sz w:val="36"/>
        </w:rPr>
        <w:t> </w:t>
      </w:r>
      <w:r>
        <w:rPr>
          <w:color w:val="FFFFFF"/>
          <w:sz w:val="36"/>
        </w:rPr>
        <w:t>PSKUS</w:t>
        <w:tab/>
      </w:r>
      <w:r>
        <w:rPr>
          <w:color w:val="FFFFFF"/>
          <w:position w:val="1"/>
          <w:sz w:val="36"/>
        </w:rPr>
        <w:t>60 min</w:t>
      </w:r>
    </w:p>
    <w:sectPr>
      <w:type w:val="continuous"/>
      <w:pgSz w:w="16840" w:h="11910" w:orient="landscape"/>
      <w:pgMar w:top="200" w:bottom="280" w:left="200" w:right="680"/>
      <w:cols w:num="2" w:equalWidth="0">
        <w:col w:w="7112" w:space="869"/>
        <w:col w:w="79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720"/>
        <w:jc w:val="left"/>
      </w:pPr>
      <w:rPr>
        <w:rFonts w:hint="default" w:ascii="Calibri" w:hAnsi="Calibri" w:eastAsia="Calibri" w:cs="Calibri"/>
        <w:color w:val="FFFFFF"/>
        <w:spacing w:val="-1"/>
        <w:w w:val="100"/>
        <w:sz w:val="36"/>
        <w:szCs w:val="36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535" w:hanging="720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251" w:hanging="72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2967" w:hanging="72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3683" w:hanging="72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4398" w:hanging="72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5114" w:hanging="72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5830" w:hanging="72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6546" w:hanging="72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825" w:hanging="720"/>
      <w:outlineLvl w:val="1"/>
    </w:pPr>
    <w:rPr>
      <w:rFonts w:ascii="Calibri" w:hAnsi="Calibri" w:eastAsia="Calibri" w:cs="Calibri"/>
      <w:sz w:val="36"/>
      <w:szCs w:val="36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825" w:hanging="720"/>
    </w:pPr>
    <w:rPr>
      <w:rFonts w:ascii="Calibri" w:hAnsi="Calibri" w:eastAsia="Calibri" w:cs="Calibri"/>
      <w:lang w:val="en-gb" w:eastAsia="en-gb" w:bidi="en-gb"/>
    </w:rPr>
  </w:style>
  <w:style w:styleId="TableParagraph" w:type="paragraph">
    <w:name w:val="Table Paragraph"/>
    <w:basedOn w:val="Normal"/>
    <w:uiPriority w:val="1"/>
    <w:qFormat/>
    <w:pPr>
      <w:ind w:left="531"/>
    </w:pPr>
    <w:rPr>
      <w:rFonts w:ascii="Calibri" w:hAnsi="Calibri" w:eastAsia="Calibri" w:cs="Calibri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stasti.lv/santen" TargetMode="External"/><Relationship Id="rId8" Type="http://schemas.openxmlformats.org/officeDocument/2006/relationships/hyperlink" Target="mailto:latvia@santen.co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Boriss Birmans</dc:creator>
  <dcterms:created xsi:type="dcterms:W3CDTF">2023-09-28T12:09:57Z</dcterms:created>
  <dcterms:modified xsi:type="dcterms:W3CDTF">2023-09-28T12:09:57Z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